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3ac12fcbf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rPr>
          <w:lang w:val="en-US"/>
          <w:position w:val="24"/>
          <w:rFonts w:ascii="Arial" w:hAnsi="Arial" w:cs="Arial"/>
          <w:b/>
          <w:sz w:val="28"/>
          <w:szCs w:val="28"/>
        </w:rPr>
        <w:t>JAY JAE LEE v. A-1 PAINTING CONCEPTS, INC.</w:t>
      </w:r>
    </w:p>
    <w:p>
      <w:pPr/>
      <w:r>
        <w:rPr>
          <w:lang w:val="en-US"/>
          <w:rFonts w:ascii="Arial" w:hAnsi="Arial" w:cs="Arial"/>
          <w:sz w:val="14"/>
          <w:szCs w:val="14"/>
        </w:rPr>
        <w:t>
</w:t>
      </w:r>
      <w:r>
        <w:rPr>
          <w:lang w:val="en-US"/>
          <w:rFonts w:ascii="Arial" w:hAnsi="Arial" w:cs="Arial"/>
          <w:sz w:val="14"/>
          <w:szCs w:val="14"/>
        </w:rPr>
        <w:br/>
      </w:r>
    </w:p>
    <w:p>
      <w:pPr/>
      <w:r>
        <w:rPr>
          <w:lang w:val="en-US"/>
          <w:position w:val="24"/>
          <w:rFonts w:ascii="Arial" w:hAnsi="Arial" w:cs="Arial"/>
          <w:b/>
          <w:sz w:val="22"/>
          <w:szCs w:val="22"/>
          <w:color w:val="191970"/>
        </w:rPr>
        <w:t>CASE INFORMATION</w:t>
      </w:r>
    </w:p>
    <w:tbl>
      <w:tblPr>
        <w:tblStyle w:val="TableNormal"/>
        <w:tblW w:w="5000" w:type="pct"/>
        <w:tblLook w:val="04A0"/>
      </w:tblPr>
      <w:tblGrid>
        <w:gridCol w:w="2310"/>
        <w:gridCol w:w="2310"/>
      </w:tblGrid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Case Title: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JAY JAE LEE v. A-1 PAINTING CONCEPTS, INC.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Court: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SUPERIOR COURT, ORANGE COUNTY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Case Number: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30-2016-00883934-CU-OE-CJC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Case Type: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CIVIL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Case Subtype: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CIVIL - UNLIMITED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Key Nature of Suit: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LABOR &amp; EMPLOYMENT (190)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Description: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OTHER EMPLOYMENT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Date Filed: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10/28/2016</w:t>
            </w:r>
          </w:p>
        </w:tc>
      </w:tr>
    </w:tbl>
    <w:p>
      <w:pPr/>
      <w:r>
        <w:rPr>
          <w:lang w:val="en-US"/>
          <w:rFonts w:ascii="Arial" w:hAnsi="Arial" w:cs="Arial"/>
          <w:sz w:val="14"/>
          <w:szCs w:val="14"/>
        </w:rPr>
        <w:t>
</w:t>
      </w:r>
      <w:r>
        <w:rPr>
          <w:lang w:val="en-US"/>
          <w:rFonts w:ascii="Arial" w:hAnsi="Arial" w:cs="Arial"/>
          <w:sz w:val="14"/>
          <w:szCs w:val="14"/>
        </w:rPr>
        <w:br/>
      </w:r>
    </w:p>
    <w:p>
      <w:pPr/>
      <w:r>
        <w:rPr>
          <w:lang w:val="en-US"/>
          <w:position w:val="24"/>
          <w:rFonts w:ascii="Arial" w:hAnsi="Arial" w:cs="Arial"/>
          <w:b/>
          <w:sz w:val="22"/>
          <w:szCs w:val="22"/>
          <w:color w:val="191970"/>
        </w:rPr>
        <w:t>SYNOPSIS INFORMATION</w:t>
      </w:r>
    </w:p>
    <w:tbl>
      <w:tblPr>
        <w:tblStyle w:val="TableNormal"/>
        <w:tblW w:w="5000" w:type="pct"/>
        <w:tblLook w:val="04A0"/>
      </w:tblPr>
      <w:tblGrid>
        <w:gridCol w:w="2310"/>
        <w:gridCol w:w="2310"/>
      </w:tblGrid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Allegations: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PLAINTIFF LEE ALLEGES THAT DEFENDANT EMPLOYERS A-1 PAINTING CONCEPTS INC. AND LIM HAVE FAILED TO PAY WAGES, FAILED TO PAY OVERTIME AND FAILED TO PAY TERMINATION PAY. </w:t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Damages: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COMPENSATORY DAMAGES, OTHER DAMAGES, INTEREST, EXEMPLARY DAMAGES, PENALTIES, LIQUIDATED DAMAGES, ATTORNEY FEES, RESTITUTION AND COSTS. </w:t>
            </w:r>
          </w:p>
        </w:tc>
      </w:tr>
    </w:tbl>
    <w:tbl>
      <w:tblPr>
        <w:tblStyle w:val="TableNormal"/>
        <w:tblW w:w="5000" w:type="pct"/>
        <w:tblLook w:val="04A0"/>
      </w:tblPr>
      <w:tblGrid>
        <w:gridCol w:w="2310"/>
        <w:gridCol w:w="2310"/>
      </w:tblGrid>
      <w:tr>
        <w:tc>
          <w:tcPr>
            <w:tcW w:w="2310" w:type="pct"/>
          </w:tcPr>
          <w:p>
            <w:pPr>
              <w:rPr>
                <w:b/>
              </w:rPr>
            </w:pPr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COMPLAINT (MANUALLY RETRIEVED)​</w:t>
            </w:r>
          </w:p>
        </w:tc>
      </w:tr>
    </w:tbl>
    <w:p>
      <w:pPr/>
      <w:r>
        <w:rPr>
          <w:lang w:val="en-US"/>
          <w:rFonts w:ascii="Arial" w:hAnsi="Arial" w:cs="Arial"/>
          <w:sz w:val="14"/>
          <w:szCs w:val="14"/>
        </w:rPr>
        <w:t>
</w:t>
      </w:r>
      <w:r>
        <w:rPr>
          <w:lang w:val="en-US"/>
          <w:rFonts w:ascii="Arial" w:hAnsi="Arial" w:cs="Arial"/>
          <w:sz w:val="14"/>
          <w:szCs w:val="14"/>
        </w:rPr>
        <w:br/>
      </w:r>
    </w:p>
    <w:tbl>
      <w:tblPr>
        <w:tblStyle w:val="TableGrid"/>
        <w:tblW w:w="5000" w:type="pct"/>
        <w:tblLook w:val="04A0"/>
      </w:tblPr>
      <w:tblGrid>
        <w:gridCol w:w="2310"/>
      </w:tblGrid>
      <w:tr>
        <w:tc>
          <w:tcPr>
            <w:tcW w:w="2310" w:type="pct"/>
            <w:shd w:val="clear" w:color="auto" w:fill="F0FFF0"/>
            <w:tcMar>
              <w:top w:type="dxa" w:w="30"/>
            </w:tcMar>
          </w:tcPr>
          <w:p>
            <w:pPr/>
            <w:r>
              <w:rPr>
                <w:b/>
                <w:sz w:val="18"/>
                <w:szCs w:val="18"/>
                <w:color w:val="191970"/>
              </w:rPr>
              <w:t>JAY JAE LEE</w:t>
            </w:r>
          </w:p>
        </w:tc>
      </w:tr>
    </w:tbl>
    <w:tbl>
      <w:tblPr>
        <w:tblStyle w:val="TableNormal"/>
        <w:tblW w:w="5000" w:type="pct"/>
        <w:tblLook w:val="04A0"/>
      </w:tblPr>
      <w:tblGrid>
        <w:gridCol w:w="2310"/>
        <w:gridCol w:w="2310"/>
      </w:tblGrid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Type: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PLAINTIFF</w:t>
            </w:r>
          </w:p>
        </w:tc>
      </w:tr>
    </w:tbl>
    <w:p>
      <w:pPr/>
      <w:r>
        <w:rPr>
          <w:lang w:val="en-US"/>
          <w:rFonts w:ascii="Arial" w:hAnsi="Arial" w:cs="Arial"/>
          <w:sz w:val="14"/>
          <w:szCs w:val="14"/>
        </w:rPr>
        <w:t>
</w:t>
      </w:r>
      <w:r>
        <w:rPr>
          <w:lang w:val="en-US"/>
          <w:rFonts w:ascii="Arial" w:hAnsi="Arial" w:cs="Arial"/>
          <w:sz w:val="14"/>
          <w:szCs w:val="14"/>
        </w:rPr>
        <w:br/>
      </w:r>
    </w:p>
    <w:tbl>
      <w:tblPr>
        <w:tblStyle w:val="TableGrid"/>
        <w:tblW w:w="5000" w:type="pct"/>
        <w:tblLook w:val="04A0"/>
      </w:tblPr>
      <w:tblGrid>
        <w:gridCol w:w="2310"/>
      </w:tblGrid>
      <w:tr>
        <w:tc>
          <w:tcPr>
            <w:tcW w:w="2310" w:type="pct"/>
            <w:shd w:val="clear" w:color="auto" w:fill="F0FFF0"/>
            <w:tcMar>
              <w:top w:type="dxa" w:w="30"/>
            </w:tcMar>
          </w:tcPr>
          <w:p>
            <w:pPr/>
            <w:r>
              <w:rPr>
                <w:b/>
                <w:sz w:val="18"/>
                <w:szCs w:val="18"/>
                <w:color w:val="191970"/>
              </w:rPr>
              <w:t>A-1 PAINTING CONCEPTS, INC.</w:t>
            </w:r>
          </w:p>
        </w:tc>
      </w:tr>
    </w:tbl>
    <w:tbl>
      <w:tblPr>
        <w:tblStyle w:val="TableNormal"/>
        <w:tblW w:w="5000" w:type="pct"/>
        <w:tblLook w:val="04A0"/>
      </w:tblPr>
      <w:tblGrid>
        <w:gridCol w:w="2310"/>
        <w:gridCol w:w="2310"/>
      </w:tblGrid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Type: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DEFENDANT</w:t>
            </w:r>
          </w:p>
        </w:tc>
      </w:tr>
    </w:tbl>
    <w:p>
      <w:pPr/>
      <w:r>
        <w:rPr>
          <w:lang w:val="en-US"/>
          <w:rFonts w:ascii="Arial" w:hAnsi="Arial" w:cs="Arial"/>
          <w:sz w:val="14"/>
          <w:szCs w:val="14"/>
        </w:rPr>
        <w:t>
</w:t>
      </w:r>
      <w:r>
        <w:rPr>
          <w:lang w:val="en-US"/>
          <w:rFonts w:ascii="Arial" w:hAnsi="Arial" w:cs="Arial"/>
          <w:sz w:val="14"/>
          <w:szCs w:val="14"/>
        </w:rPr>
        <w:br/>
      </w:r>
    </w:p>
    <w:tbl>
      <w:tblPr>
        <w:tblStyle w:val="TableGrid"/>
        <w:tblW w:w="5000" w:type="pct"/>
        <w:tblLook w:val="04A0"/>
      </w:tblPr>
      <w:tblGrid>
        <w:gridCol w:w="2310"/>
      </w:tblGrid>
      <w:tr>
        <w:tc>
          <w:tcPr>
            <w:tcW w:w="2310" w:type="pct"/>
            <w:shd w:val="clear" w:color="auto" w:fill="F0FFF0"/>
            <w:tcMar>
              <w:top w:type="dxa" w:w="30"/>
            </w:tcMar>
          </w:tcPr>
          <w:p>
            <w:pPr/>
            <w:r>
              <w:rPr>
                <w:b/>
                <w:sz w:val="18"/>
                <w:szCs w:val="18"/>
                <w:color w:val="191970"/>
              </w:rPr>
              <w:t>WANG S. LIM</w:t>
            </w:r>
          </w:p>
        </w:tc>
      </w:tr>
    </w:tbl>
    <w:tbl>
      <w:tblPr>
        <w:tblStyle w:val="TableNormal"/>
        <w:tblW w:w="5000" w:type="pct"/>
        <w:tblLook w:val="04A0"/>
      </w:tblPr>
      <w:tblGrid>
        <w:gridCol w:w="2310"/>
        <w:gridCol w:w="2310"/>
      </w:tblGrid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Type: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DEFENDANT</w:t>
            </w:r>
          </w:p>
        </w:tc>
      </w:tr>
    </w:tbl>
    <w:p>
      <w:pPr/>
      <w:r>
        <w:rPr>
          <w:lang w:val="en-US"/>
          <w:rFonts w:ascii="Arial" w:hAnsi="Arial" w:cs="Arial"/>
          <w:sz w:val="14"/>
          <w:szCs w:val="14"/>
        </w:rPr>
        <w:t>
</w:t>
      </w:r>
      <w:r>
        <w:rPr>
          <w:lang w:val="en-US"/>
          <w:rFonts w:ascii="Arial" w:hAnsi="Arial" w:cs="Arial"/>
          <w:sz w:val="14"/>
          <w:szCs w:val="14"/>
        </w:rPr>
        <w:br/>
      </w:r>
    </w:p>
    <w:p>
      <w:pPr/>
      <w:r>
        <w:rPr>
          <w:lang w:val="en-US"/>
          <w:position w:val="24"/>
          <w:rFonts w:ascii="Arial" w:hAnsi="Arial" w:cs="Arial"/>
          <w:b/>
          <w:sz w:val="22"/>
          <w:szCs w:val="22"/>
          <w:color w:val="191970"/>
        </w:rPr>
        <w:t>DOCKET PROCEEDINGS (6)</w:t>
      </w:r>
    </w:p>
    <w:tbl>
      <w:tblPr>
        <w:tblStyle w:val="TableNormal"/>
        <w:tblW w:w="5000" w:type="pct"/>
        <w:tblLook w:val="04A0"/>
      </w:tblPr>
      <w:tblGrid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pct"/>
          </w:tcPr>
          <w:p>
            <w:pPr/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310" w:type="pct"/>
          </w:tcPr>
          <w:p>
            <w:pPr/>
            <w:r>
              <w:rPr>
                <w:b/>
                <w:sz w:val="18"/>
                <w:szCs w:val="18"/>
              </w:rPr>
              <w:t>Entry #:</w:t>
            </w:r>
          </w:p>
        </w:tc>
        <w:tc>
          <w:tcPr>
            <w:tcW w:w="2310" w:type="pct"/>
          </w:tcPr>
          <w:p>
            <w:pPr/>
            <w:r>
              <w:rPr>
                <w:b/>
                <w:sz w:val="18"/>
                <w:szCs w:val="18"/>
              </w:rPr>
              <w:t>Description:</w:t>
            </w:r>
          </w:p>
        </w:tc>
        <w:tc>
          <w:tcPr>
            <w:tcW w:w="2310" w:type="pct"/>
          </w:tcPr>
          <w:p>
            <w:pPr/>
            <w:r>
              <w:rPr>
                <w:b/>
                <w:sz w:val="18"/>
                <w:szCs w:val="18"/>
              </w:rPr>
              <w:t>Date Docketed:</w:t>
            </w:r>
          </w:p>
        </w:tc>
        <w:tc>
          <w:tcPr>
            <w:tcW w:w="2310" w:type="pct"/>
          </w:tcPr>
          <w:p>
            <w:pPr/>
            <w:r>
              <w:rPr>
                <w:b/>
                <w:sz w:val="18"/>
                <w:szCs w:val="18"/>
              </w:rPr>
              <w:t>Party:</w:t>
            </w:r>
          </w:p>
        </w:tc>
        <w:tc>
          <w:tcPr>
            <w:tcW w:w="2310" w:type="pct"/>
          </w:tcPr>
          <w:p>
            <w:pPr>
              <w:rPr>
                <w:b/>
                <w:sz/>
                <w:szCs/>
              </w:rPr>
            </w:pP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10/28/2016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Docket Entry: CASE ASSIGNED TO JUDICIAL OFFICER GASTELUM, JOHN ON 10/28/2016.  Docket Miscellaneous: 1 PAGES  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10/31/2016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Docket Entry: PAYMENT RECEIVED BY ONELEGAL FOR 194 - COMPLAINT OR OTHER 1ST PAPER IN THE AMOUNT OF 435.00, TRANSACTION NUMBER 12054042 AND RECEIPT NUMBER 11877987.  Docket Miscellaneous: 1 PAGES  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10/28/2016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Docket Entry: SUMMONS ISSUED AND FILED FILED BY LEE, JAY JAE ON 10/28/2016  Docket Miscellaneous: 1 PAGES  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10/28/2016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Docket Entry: CIVIL CASE COVER SHEET FILED BY LEE, JAY JAE ON 10/28/2016  Docket Miscellaneous: 2 PAGES  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10/28/2016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Docket Entry: COMPLAINT FILED BY LEE, JAY JAE ON 10/28/2016  Docket Miscellaneous: 13 PAGES  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10/31/2016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Docket Entry: E-FILING TRANSACTION 2505421 RECEIVED ON 10/28/2016 05:15:15 PM.  Docket Miscellaneous: NV  </w:t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  <w:tc>
          <w:tcPr>
            <w:tcW w:w="2310" w:type="pct"/>
          </w:tcPr>
          <w:p>
            <w:pPr/>
            <w:r>
              <w:rPr>
                <w:sz w:val="12"/>
                <w:szCs w:val="18"/>
              </w:rPr>
              <w:t>
</w:t>
            </w:r>
            <w:r>
              <w:rPr>
                <w:sz w:val="12"/>
                <w:szCs w:val="18"/>
              </w:rPr>
              <w:br/>
            </w:r>
          </w:p>
        </w:tc>
      </w:tr>
    </w:tbl>
    <w:p>
      <w:pPr/>
      <w:r>
        <w:rPr>
          <w:lang w:val="en-US"/>
          <w:rFonts w:ascii="Arial" w:hAnsi="Arial" w:cs="Arial"/>
          <w:sz w:val="14"/>
          <w:szCs w:val="14"/>
        </w:rPr>
        <w:t>
</w:t>
      </w:r>
      <w:r>
        <w:rPr>
          <w:lang w:val="en-US"/>
          <w:rFonts w:ascii="Arial" w:hAnsi="Arial" w:cs="Arial"/>
          <w:sz w:val="14"/>
          <w:szCs w:val="14"/>
        </w:rPr>
        <w:br/>
      </w:r>
    </w:p>
    <w:p>
      <w:pPr>
        <w:jc w:val="center"/>
      </w:pPr>
      <w:r>
        <w:rPr>
          <w:lang w:val="en-US"/>
          <w:position w:val="24"/>
          <w:rFonts w:ascii="Arial" w:hAnsi="Arial" w:cs="Arial"/>
          <w:i/>
          <w:sz w:val="20"/>
          <w:szCs w:val="20"/>
        </w:rPr>
        <w:t>© 2016 Thomson Reuters. No claim to original U.S. Government Works.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13efea90f4b34" /><Relationship Type="http://schemas.openxmlformats.org/officeDocument/2006/relationships/numbering" Target="/word/numbering.xml" Id="R20e7bcc5b0e24c7d" /><Relationship Type="http://schemas.openxmlformats.org/officeDocument/2006/relationships/settings" Target="/word/settings.xml" Id="Reb856df651374cbf" /></Relationships>
</file>